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negociados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entre as partes ou, se for o caso, no Termo de Distrato. 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5F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Marco/CE, [INDICAR DIA, MÊS E ANO].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3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4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6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7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9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6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6E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